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4FF0C73C" w:rsidR="00AE2CAD" w:rsidRPr="00FC3F8A" w:rsidRDefault="00565FE7" w:rsidP="00565FE7">
      <w:hyperlink r:id="rId6" w:history="1">
        <w:r w:rsidRPr="00036A77">
          <w:rPr>
            <w:rStyle w:val="Collegamentoipertestuale"/>
          </w:rPr>
          <w:t>https://www.milanofinanza.it/news/mfnewswires/5#1532422124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5#15324221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2025-02-24T15:36:00Z</dcterms:created>
  <dcterms:modified xsi:type="dcterms:W3CDTF">2025-02-24T15:37:00Z</dcterms:modified>
</cp:coreProperties>
</file>